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000"/>
      </w:pPr>
    </w:p>
    <w:p>
      <w:pPr>
        <w:jc w:val="center"/>
      </w:pPr>
      <w:r>
        <w:rPr>
          <w:b/>
          <w:bCs/>
          <w:color w:val="1F4E79"/>
          <w:sz w:val="72"/>
          <w:szCs w:val="72"/>
        </w:rPr>
        <w:t xml:space="preserve">DryPort OS</w:t>
      </w:r>
    </w:p>
    <w:p>
      <w:pPr>
        <w:spacing w:before="200"/>
        <w:jc w:val="center"/>
      </w:pPr>
      <w:r>
        <w:rPr>
          <w:color w:val="2E75B6"/>
          <w:sz w:val="36"/>
          <w:szCs w:val="36"/>
        </w:rPr>
        <w:t xml:space="preserve">Guide détaillé de la plateforme de gestion de port sec</w:t>
      </w:r>
    </w:p>
    <w:p>
      <w:pPr>
        <w:spacing w:before="400"/>
        <w:jc w:val="center"/>
      </w:pPr>
      <w:r>
        <w:rPr>
          <w:i/>
          <w:iCs/>
          <w:color w:val="555555"/>
          <w:sz w:val="24"/>
          <w:szCs w:val="24"/>
        </w:rPr>
        <w:t xml:space="preserve">Explication détaillée : mode de fonctionnement, procédures et avantages de chaque module</w:t>
      </w:r>
    </w:p>
    <w:p>
      <w:pPr>
        <w:spacing w:before="1200"/>
        <w:jc w:val="center"/>
      </w:pPr>
      <w:r>
        <w:rPr>
          <w:b/>
          <w:bCs/>
          <w:sz w:val="24"/>
          <w:szCs w:val="24"/>
        </w:rPr>
        <w:t xml:space="preserve">Port sec de Kagbélen — Conakry, Guinée</w:t>
      </w:r>
    </w:p>
    <w:p>
      <w:pPr>
        <w:spacing w:before="200"/>
        <w:jc w:val="center"/>
      </w:pPr>
      <w:r>
        <w:rPr>
          <w:color w:val="888888"/>
          <w:sz w:val="22"/>
          <w:szCs w:val="22"/>
        </w:rPr>
        <w:t xml:space="preserve">Octobre 2026</w:t>
      </w:r>
    </w:p>
    <w:p>
      <w:pPr>
        <w:pStyle w:val="Heading1"/>
        <w:pageBreakBefore/>
      </w:pPr>
      <w:r>
        <w:t xml:space="preserve">1. Introduction</w:t>
      </w:r>
    </w:p>
    <w:p>
      <w:pPr>
        <w:spacing w:after="120"/>
      </w:pPr>
      <w:r>
        <w:t xml:space="preserve">DryPort OS est une plateforme numérique de gestion d'un port sec : une plateforme logistique intermodale située à l'intérieur des terres, reliée au port maritime de Conakry par la route ou le rail. Elle permet de décongestionner le terminal côtier en déportant vers l'intérieur du pays les opérations de stockage, de dédouanement et de transfert des marchandises.</w:t>
      </w:r>
    </w:p>
    <w:p>
      <w:pPr>
        <w:spacing w:after="120"/>
      </w:pPr>
      <w:r>
        <w:t xml:space="preserve">La plateforme couvre l'ensemble du cycle de vie d'un conteneur au port sec : enregistrement à l'arrivée, positionnement en zone de stockage, suivi douanier, mouvements internes, organisation du transport de sortie, facturation des prestations et suivi cartographique des livraisons jusqu'à destination.</w:t>
      </w:r>
    </w:p>
    <w:p>
      <w:pPr>
        <w:pStyle w:val="Heading2"/>
      </w:pPr>
      <w:r>
        <w:t xml:space="preserve">Les utilisateurs de la plateforme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rPr>
              <w:t xml:space="preserve">Profil</w:t>
            </w:r>
          </w:p>
        </w:tc>
        <w:tc>
          <w:tcPr>
            <w:tcW w:type="dxa" w:w="656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rPr>
              <w:t xml:space="preserve">Rôle sur la plateforme</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Administrateur du port sec</w:t>
            </w:r>
          </w:p>
        </w:tc>
        <w:tc>
          <w:tcPr>
            <w:tcW w:type="dxa" w:w="6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Gère les zones de stockage, les emplacements, les mouvements internes, la facturation et le reporting global.</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Transitaire / Transporteur</w:t>
            </w:r>
          </w:p>
        </w:tc>
        <w:tc>
          <w:tcPr>
            <w:tcW w:type="dxa" w:w="6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Dépose et retire les marchandises, consulte la liste des transporteurs agréés et suit ses enlèvements sur la carte.</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Agent des douanes</w:t>
            </w:r>
          </w:p>
        </w:tc>
        <w:tc>
          <w:tcPr>
            <w:tcW w:type="dxa" w:w="6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Contrôle et valide les dédouanements, met en place des contrôles physiques et débloque les dossiers.</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Client final</w:t>
            </w:r>
          </w:p>
        </w:tc>
        <w:tc>
          <w:tcPr>
            <w:tcW w:type="dxa" w:w="6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Consulte l'état de ses conteneurs, le statut des opérations et l'avancement des livraisons.</w:t>
            </w:r>
          </w:p>
        </w:tc>
      </w:tr>
    </w:tbl>
    <w:p>
      <w:pPr>
        <w:spacing w:after="200"/>
      </w:pPr>
    </w:p>
    <w:p>
      <w:pPr>
        <w:pStyle w:val="Heading2"/>
      </w:pPr>
      <w:r>
        <w:t xml:space="preserve">Le parcours global d'un conteneur</w:t>
      </w:r>
    </w:p>
    <w:p>
      <w:pPr>
        <w:pStyle w:val="ListParagraph"/>
        <w:numPr>
          <w:ilvl w:val="0"/>
          <w:numId w:val="2"/>
        </w:numPr>
      </w:pPr>
      <w:r>
        <w:t xml:space="preserve">Le conteneur arrive du port maritime de Conakry et est enregistré (EIR, BL, booking) dans le module Conteneurs.</w:t>
      </w:r>
    </w:p>
    <w:p>
      <w:pPr>
        <w:pStyle w:val="ListParagraph"/>
        <w:numPr>
          <w:ilvl w:val="0"/>
          <w:numId w:val="2"/>
        </w:numPr>
      </w:pPr>
      <w:r>
        <w:t xml:space="preserve">Il est positionné sur un emplacement précis (zone, rack) grâce au module Plan de stockage.</w:t>
      </w:r>
    </w:p>
    <w:p>
      <w:pPr>
        <w:pStyle w:val="ListParagraph"/>
        <w:numPr>
          <w:ilvl w:val="0"/>
          <w:numId w:val="2"/>
        </w:numPr>
      </w:pPr>
      <w:r>
        <w:t xml:space="preserve">Le transitaire dépose la déclaration douanière (DAU) qui est traitée dans le module Dédouanement.</w:t>
      </w:r>
    </w:p>
    <w:p>
      <w:pPr>
        <w:pStyle w:val="ListParagraph"/>
        <w:numPr>
          <w:ilvl w:val="0"/>
          <w:numId w:val="2"/>
        </w:numPr>
      </w:pPr>
      <w:r>
        <w:t xml:space="preserve">Tous les déplacements internes (quai, zone sous douane, zone franche, transit) sont tracés dans le module Mouvements.</w:t>
      </w:r>
    </w:p>
    <w:p>
      <w:pPr>
        <w:pStyle w:val="ListParagraph"/>
        <w:numPr>
          <w:ilvl w:val="0"/>
          <w:numId w:val="2"/>
        </w:numPr>
      </w:pPr>
      <w:r>
        <w:t xml:space="preserve">Une fois dédouané, le transitaire choisit un transporteur agréé dans le module Transit.</w:t>
      </w:r>
    </w:p>
    <w:p>
      <w:pPr>
        <w:pStyle w:val="ListParagraph"/>
        <w:numPr>
          <w:ilvl w:val="0"/>
          <w:numId w:val="2"/>
        </w:numPr>
      </w:pPr>
      <w:r>
        <w:t xml:space="preserve">Le bon de sortie est édité dans le module Sorties / Transport et le conteneur est chargé.</w:t>
      </w:r>
    </w:p>
    <w:p>
      <w:pPr>
        <w:pStyle w:val="ListParagraph"/>
        <w:numPr>
          <w:ilvl w:val="0"/>
          <w:numId w:val="2"/>
        </w:numPr>
      </w:pPr>
      <w:r>
        <w:t xml:space="preserve">Le suivi cartographique permet de suivre le camion en temps réel jusqu'à la livraison.</w:t>
      </w:r>
    </w:p>
    <w:p>
      <w:pPr>
        <w:pStyle w:val="ListParagraph"/>
        <w:numPr>
          <w:ilvl w:val="0"/>
          <w:numId w:val="2"/>
        </w:numPr>
      </w:pPr>
      <w:r>
        <w:t xml:space="preserve">Les prestations (manutention, stockage, gardiennage, dédouanement, scanner, sortie) sont facturées dans le module Facturation.</w:t>
      </w:r>
    </w:p>
    <w:p>
      <w:pPr>
        <w:pStyle w:val="Heading1"/>
        <w:pageBreakBefore/>
      </w:pPr>
      <w:r>
        <w:t xml:space="preserve">2. Tableau de bord</w:t>
      </w:r>
    </w:p>
    <w:p>
      <w:pPr>
        <w:spacing w:after="120"/>
      </w:pPr>
      <w:r>
        <w:t xml:space="preserve">Le tableau de bord est la page d'accueil de la plateforme. Il offre une vue synthétique et en temps réel de l'activité du port sec, à destination de l'administrateur et de la direction.</w:t>
      </w:r>
    </w:p>
    <w:p>
      <w:pPr>
        <w:pStyle w:val="Heading2"/>
      </w:pPr>
      <w:r>
        <w:t xml:space="preserve">Mode de fonctionnement</w:t>
      </w:r>
    </w:p>
    <w:p>
      <w:pPr>
        <w:spacing w:after="120"/>
      </w:pPr>
      <w:r>
        <w:t xml:space="preserve">La page présente des indicateurs clés (KPI) calculés automatiquement à partir des données du terminal : nombre total de conteneurs présents, taux d'occupation des zones, temps moyen de séjour, nombre de conteneurs en douane et nombre de conteneurs prêts à sortir.</w:t>
      </w:r>
    </w:p>
    <w:p>
      <w:pPr>
        <w:spacing w:after="120"/>
      </w:pPr>
      <w:r>
        <w:t xml:space="preserve">Elle affiche également les derniers mouvements enregistrés, la répartition des conteneurs par statut et les alertes sur les séjours anormalement longs.</w:t>
      </w:r>
    </w:p>
    <w:p>
      <w:pPr>
        <w:pStyle w:val="Heading2"/>
      </w:pPr>
      <w:r>
        <w:t xml:space="preserve">Procédure détaillée</w:t>
      </w:r>
    </w:p>
    <w:p>
      <w:pPr>
        <w:pStyle w:val="ListParagraph"/>
        <w:numPr>
          <w:ilvl w:val="0"/>
          <w:numId w:val="3"/>
        </w:numPr>
      </w:pPr>
      <w:r>
        <w:t xml:space="preserve">Ouvrir la rubrique Tableau de bord dans le menu latéral.</w:t>
      </w:r>
    </w:p>
    <w:p>
      <w:pPr>
        <w:pStyle w:val="ListParagraph"/>
        <w:numPr>
          <w:ilvl w:val="0"/>
          <w:numId w:val="3"/>
        </w:numPr>
      </w:pPr>
      <w:r>
        <w:t xml:space="preserve">Lire les indicateurs en haut de page : occupation, séjour moyen, conteneurs en douane, prêts à sortir.</w:t>
      </w:r>
    </w:p>
    <w:p>
      <w:pPr>
        <w:pStyle w:val="ListParagraph"/>
        <w:numPr>
          <w:ilvl w:val="0"/>
          <w:numId w:val="3"/>
        </w:numPr>
      </w:pPr>
      <w:r>
        <w:t xml:space="preserve">Consulter le graphique de répartition des statuts pour identifier les goulots d'étranglement.</w:t>
      </w:r>
    </w:p>
    <w:p>
      <w:pPr>
        <w:pStyle w:val="ListParagraph"/>
        <w:numPr>
          <w:ilvl w:val="0"/>
          <w:numId w:val="3"/>
        </w:numPr>
      </w:pPr>
      <w:r>
        <w:t xml:space="preserve">Parcourir la liste des derniers mouvements pour vérifier l'activité récente.</w:t>
      </w:r>
    </w:p>
    <w:p>
      <w:pPr>
        <w:pStyle w:val="ListParagraph"/>
        <w:numPr>
          <w:ilvl w:val="0"/>
          <w:numId w:val="3"/>
        </w:numPr>
      </w:pPr>
      <w:r>
        <w:t xml:space="preserve">Réagir aux alertes (séjours longs, zones saturées) en orientant les opérations vers les modules concernés.</w:t>
      </w:r>
    </w:p>
    <w:p>
      <w:pPr>
        <w:pStyle w:val="Heading2"/>
      </w:pPr>
      <w:r>
        <w:t xml:space="preserve">Avantages</w:t>
      </w:r>
    </w:p>
    <w:p>
      <w:pPr>
        <w:pStyle w:val="ListParagraph"/>
        <w:numPr>
          <w:ilvl w:val="0"/>
          <w:numId w:val="4"/>
        </w:numPr>
      </w:pPr>
      <w:r>
        <w:t xml:space="preserve">Vue d'ensemble immédiate : toute la situation du terminal sur un seul écran.</w:t>
      </w:r>
    </w:p>
    <w:p>
      <w:pPr>
        <w:pStyle w:val="ListParagraph"/>
        <w:numPr>
          <w:ilvl w:val="0"/>
          <w:numId w:val="4"/>
        </w:numPr>
      </w:pPr>
      <w:r>
        <w:t xml:space="preserve">Aide à la décision : les KPI permettent d'anticiper la saturation des zones et les retards de dédouanement.</w:t>
      </w:r>
    </w:p>
    <w:p>
      <w:pPr>
        <w:pStyle w:val="ListParagraph"/>
        <w:numPr>
          <w:ilvl w:val="0"/>
          <w:numId w:val="4"/>
        </w:numPr>
      </w:pPr>
      <w:r>
        <w:t xml:space="preserve">Détection précoce des anomalies grâce aux alertes automatiques.</w:t>
      </w:r>
    </w:p>
    <w:p>
      <w:pPr>
        <w:pStyle w:val="Heading1"/>
        <w:pageBreakBefore/>
      </w:pPr>
      <w:r>
        <w:t xml:space="preserve">3. Gestion des conteneurs</w:t>
      </w:r>
    </w:p>
    <w:p>
      <w:pPr>
        <w:spacing w:after="120"/>
      </w:pPr>
      <w:r>
        <w:t xml:space="preserve">Ce module constitue l'inventaire central de tous les conteneurs présents au port sec. Chaque conteneur y dispose d'une fiche complète et à jour.</w:t>
      </w:r>
    </w:p>
    <w:p>
      <w:pPr>
        <w:pStyle w:val="Heading2"/>
      </w:pPr>
      <w:r>
        <w:t xml:space="preserve">Mode de fonctionnement</w:t>
      </w:r>
    </w:p>
    <w:p>
      <w:pPr>
        <w:spacing w:after="120"/>
      </w:pPr>
      <w:r>
        <w:t xml:space="preserve">À l'arrivée depuis le port maritime, le conteneur est enregistré avec ses références officielles : numéro ISO 6346, connaissement (BL), booking, taille (20', 40', 40' HC, 45'), poids, marchandise, client, transitaire et provenance.</w:t>
      </w:r>
    </w:p>
    <w:p>
      <w:pPr>
        <w:spacing w:after="120"/>
      </w:pPr>
      <w:r>
        <w:t xml:space="preserve">La fiche indique en permanence le statut du conteneur (en attente douane, sous douane, dédouané, zone franche, prêt sortie, sorti), son emplacement physique (zone et rack) et son nombre de jours passés sur le terminal.</w:t>
      </w:r>
    </w:p>
    <w:p>
      <w:pPr>
        <w:spacing w:after="120"/>
      </w:pPr>
      <w:r>
        <w:t xml:space="preserve">Une recherche multicritère et des filtres par statut permettent de retrouver instantanément n'importe quel conteneur.</w:t>
      </w:r>
    </w:p>
    <w:p>
      <w:pPr>
        <w:pStyle w:val="Heading2"/>
      </w:pPr>
      <w:r>
        <w:t xml:space="preserve">Procédure détaillée</w:t>
      </w:r>
    </w:p>
    <w:p>
      <w:pPr>
        <w:pStyle w:val="ListParagraph"/>
        <w:numPr>
          <w:ilvl w:val="0"/>
          <w:numId w:val="5"/>
        </w:numPr>
      </w:pPr>
      <w:r>
        <w:t xml:space="preserve">Ouvrir la rubrique Conteneurs.</w:t>
      </w:r>
    </w:p>
    <w:p>
      <w:pPr>
        <w:pStyle w:val="ListParagraph"/>
        <w:numPr>
          <w:ilvl w:val="0"/>
          <w:numId w:val="5"/>
        </w:numPr>
      </w:pPr>
      <w:r>
        <w:t xml:space="preserve">Pour un nouvel arrivage, enregistrer le conteneur avec le numéro ISO, le BL, le booking, la taille, le poids, la marchandise, le client et le transitaire.</w:t>
      </w:r>
    </w:p>
    <w:p>
      <w:pPr>
        <w:pStyle w:val="ListParagraph"/>
        <w:numPr>
          <w:ilvl w:val="0"/>
          <w:numId w:val="5"/>
        </w:numPr>
      </w:pPr>
      <w:r>
        <w:t xml:space="preserve">Utiliser la barre de recherche pour retrouver un conteneur par numéro, BL ou client.</w:t>
      </w:r>
    </w:p>
    <w:p>
      <w:pPr>
        <w:pStyle w:val="ListParagraph"/>
        <w:numPr>
          <w:ilvl w:val="0"/>
          <w:numId w:val="5"/>
        </w:numPr>
      </w:pPr>
      <w:r>
        <w:t xml:space="preserve">Filtrer la liste par statut pour isoler par exemple les conteneurs sous douane.</w:t>
      </w:r>
    </w:p>
    <w:p>
      <w:pPr>
        <w:pStyle w:val="ListParagraph"/>
        <w:numPr>
          <w:ilvl w:val="0"/>
          <w:numId w:val="5"/>
        </w:numPr>
      </w:pPr>
      <w:r>
        <w:t xml:space="preserve">Ouvrir la fiche d'un conteneur pour consulter son emplacement, son historique et son temps de séjour.</w:t>
      </w:r>
    </w:p>
    <w:p>
      <w:pPr>
        <w:pStyle w:val="ListParagraph"/>
        <w:numPr>
          <w:ilvl w:val="0"/>
          <w:numId w:val="5"/>
        </w:numPr>
      </w:pPr>
      <w:r>
        <w:t xml:space="preserve">Mettre à jour le statut au fur et à mesure de l'avancement des opérations.</w:t>
      </w:r>
    </w:p>
    <w:p>
      <w:pPr>
        <w:pStyle w:val="Heading2"/>
      </w:pPr>
      <w:r>
        <w:t xml:space="preserve">Avantages</w:t>
      </w:r>
    </w:p>
    <w:p>
      <w:pPr>
        <w:pStyle w:val="ListParagraph"/>
        <w:numPr>
          <w:ilvl w:val="0"/>
          <w:numId w:val="4"/>
        </w:numPr>
      </w:pPr>
      <w:r>
        <w:t xml:space="preserve">Inventaire unique et fiable : plus de recherche dans des fichiers Excel dispersés.</w:t>
      </w:r>
    </w:p>
    <w:p>
      <w:pPr>
        <w:pStyle w:val="ListParagraph"/>
        <w:numPr>
          <w:ilvl w:val="0"/>
          <w:numId w:val="4"/>
        </w:numPr>
      </w:pPr>
      <w:r>
        <w:t xml:space="preserve">Traçabilité complète de chaque conteneur, de l'arrivée à la sortie.</w:t>
      </w:r>
    </w:p>
    <w:p>
      <w:pPr>
        <w:pStyle w:val="ListParagraph"/>
        <w:numPr>
          <w:ilvl w:val="0"/>
          <w:numId w:val="4"/>
        </w:numPr>
      </w:pPr>
      <w:r>
        <w:t xml:space="preserve">Recherche instantanée qui fait gagner un temps précieux aux opérateurs.</w:t>
      </w:r>
    </w:p>
    <w:p>
      <w:pPr>
        <w:pStyle w:val="ListParagraph"/>
        <w:numPr>
          <w:ilvl w:val="0"/>
          <w:numId w:val="4"/>
        </w:numPr>
      </w:pPr>
      <w:r>
        <w:t xml:space="preserve">Réduction des erreurs de saisie grâce aux références normalisées (ISO 6346).</w:t>
      </w:r>
    </w:p>
    <w:p>
      <w:pPr>
        <w:pStyle w:val="Heading1"/>
        <w:pageBreakBefore/>
      </w:pPr>
      <w:r>
        <w:t xml:space="preserve">4. Plan de stockage</w:t>
      </w:r>
    </w:p>
    <w:p>
      <w:pPr>
        <w:spacing w:after="120"/>
      </w:pPr>
      <w:r>
        <w:t xml:space="preserve">Le plan de stockage est la représentation visuelle du terminal. Il affiche les différentes zones (quai de déchargement, zones sous douane, zone franche, transit / pré-sortie, quai de sortie) et leur occupation en temps réel.</w:t>
      </w:r>
    </w:p>
    <w:p>
      <w:pPr>
        <w:pStyle w:val="Heading2"/>
      </w:pPr>
      <w:r>
        <w:t xml:space="preserve">Mode de fonctionnement</w:t>
      </w:r>
    </w:p>
    <w:p>
      <w:pPr>
        <w:spacing w:after="120"/>
      </w:pPr>
      <w:r>
        <w:t xml:space="preserve">Chaque zone est divisée en racks (emplacements) identifiés par une coordonnée unique, par exemple SD1-B4 pour la zone sous douane Nord, rangée B, emplacement 4.</w:t>
      </w:r>
    </w:p>
    <w:p>
      <w:pPr>
        <w:spacing w:after="120"/>
      </w:pPr>
      <w:r>
        <w:t xml:space="preserve">Le plan colorie les emplacements selon leur état : libre, occupé, réservé ou bloqué. Le taux d'occupation de chaque zone est calculé automatiquement.</w:t>
      </w:r>
    </w:p>
    <w:p>
      <w:pPr>
        <w:spacing w:after="120"/>
      </w:pPr>
      <w:r>
        <w:t xml:space="preserve">Cliquer sur un emplacement affiche le conteneur qui s'y trouve et sa fiche détaillée.</w:t>
      </w:r>
    </w:p>
    <w:p>
      <w:pPr>
        <w:pStyle w:val="Heading2"/>
      </w:pPr>
      <w:r>
        <w:t xml:space="preserve">Procédure détaillée</w:t>
      </w:r>
    </w:p>
    <w:p>
      <w:pPr>
        <w:pStyle w:val="ListParagraph"/>
        <w:numPr>
          <w:ilvl w:val="0"/>
          <w:numId w:val="6"/>
        </w:numPr>
      </w:pPr>
      <w:r>
        <w:t xml:space="preserve">Ouvrir la rubrique Plan de stockage.</w:t>
      </w:r>
    </w:p>
    <w:p>
      <w:pPr>
        <w:pStyle w:val="ListParagraph"/>
        <w:numPr>
          <w:ilvl w:val="0"/>
          <w:numId w:val="6"/>
        </w:numPr>
      </w:pPr>
      <w:r>
        <w:t xml:space="preserve">Visualiser l'occupation globale du terminal et repérer les zones proches de la saturation.</w:t>
      </w:r>
    </w:p>
    <w:p>
      <w:pPr>
        <w:pStyle w:val="ListParagraph"/>
        <w:numPr>
          <w:ilvl w:val="0"/>
          <w:numId w:val="6"/>
        </w:numPr>
      </w:pPr>
      <w:r>
        <w:t xml:space="preserve">Cliquer sur une zone pour afficher sa grille de racks.</w:t>
      </w:r>
    </w:p>
    <w:p>
      <w:pPr>
        <w:pStyle w:val="ListParagraph"/>
        <w:numPr>
          <w:ilvl w:val="0"/>
          <w:numId w:val="6"/>
        </w:numPr>
      </w:pPr>
      <w:r>
        <w:t xml:space="preserve">Identifier un emplacement libre adapté à la taille et au statut douanier du conteneur à stocker.</w:t>
      </w:r>
    </w:p>
    <w:p>
      <w:pPr>
        <w:pStyle w:val="ListParagraph"/>
        <w:numPr>
          <w:ilvl w:val="0"/>
          <w:numId w:val="6"/>
        </w:numPr>
      </w:pPr>
      <w:r>
        <w:t xml:space="preserve">Assigner le conteneur à l'emplacement choisi : sa fiche est mise à jour automatiquement.</w:t>
      </w:r>
    </w:p>
    <w:p>
      <w:pPr>
        <w:pStyle w:val="ListParagraph"/>
        <w:numPr>
          <w:ilvl w:val="0"/>
          <w:numId w:val="6"/>
        </w:numPr>
      </w:pPr>
      <w:r>
        <w:t xml:space="preserve">En cas de déplacement interne, libérer l'ancien emplacement et renseigner le nouveau.</w:t>
      </w:r>
    </w:p>
    <w:p>
      <w:pPr>
        <w:pStyle w:val="Heading2"/>
      </w:pPr>
      <w:r>
        <w:t xml:space="preserve">Avantages</w:t>
      </w:r>
    </w:p>
    <w:p>
      <w:pPr>
        <w:pStyle w:val="ListParagraph"/>
        <w:numPr>
          <w:ilvl w:val="0"/>
          <w:numId w:val="4"/>
        </w:numPr>
      </w:pPr>
      <w:r>
        <w:t xml:space="preserve">Optimisation de l'espace : chaque conteneur est placé au bon endroit selon son statut douanier.</w:t>
      </w:r>
    </w:p>
    <w:p>
      <w:pPr>
        <w:pStyle w:val="ListParagraph"/>
        <w:numPr>
          <w:ilvl w:val="0"/>
          <w:numId w:val="4"/>
        </w:numPr>
      </w:pPr>
      <w:r>
        <w:t xml:space="preserve">Gains de temps pour les engins de manutention qui localisent immédiatement les conteneurs.</w:t>
      </w:r>
    </w:p>
    <w:p>
      <w:pPr>
        <w:pStyle w:val="ListParagraph"/>
        <w:numPr>
          <w:ilvl w:val="0"/>
          <w:numId w:val="4"/>
        </w:numPr>
      </w:pPr>
      <w:r>
        <w:t xml:space="preserve">Prévention des erreurs de placement et des doubles assignations.</w:t>
      </w:r>
    </w:p>
    <w:p>
      <w:pPr>
        <w:pStyle w:val="ListParagraph"/>
        <w:numPr>
          <w:ilvl w:val="0"/>
          <w:numId w:val="4"/>
        </w:numPr>
      </w:pPr>
      <w:r>
        <w:t xml:space="preserve">Vision claire de la capacité disponible pour planifier les prochains arrivages.</w:t>
      </w:r>
    </w:p>
    <w:p>
      <w:pPr>
        <w:pStyle w:val="Heading1"/>
        <w:pageBreakBefore/>
      </w:pPr>
      <w:r>
        <w:t xml:space="preserve">5. Dédouanement</w:t>
      </w:r>
    </w:p>
    <w:p>
      <w:pPr>
        <w:spacing w:after="120"/>
      </w:pPr>
      <w:r>
        <w:t xml:space="preserve">Le module Dédouanement est l'interface entre le port sec et l'administration douanière. Il numérise le traitement des déclarations et la validation des enlèvements.</w:t>
      </w:r>
    </w:p>
    <w:p>
      <w:pPr>
        <w:pStyle w:val="Heading2"/>
      </w:pPr>
      <w:r>
        <w:t xml:space="preserve">Mode de fonctionnement</w:t>
      </w:r>
    </w:p>
    <w:p>
      <w:pPr>
        <w:spacing w:after="120"/>
      </w:pPr>
      <w:r>
        <w:t xml:space="preserve">Chaque conteneur sous régime douanier dispose d'une déclaration (DAU — Déclaration Unique d'Admission) détaillant la marchandise, la valeur, l'origine et le régime.</w:t>
      </w:r>
    </w:p>
    <w:p>
      <w:pPr>
        <w:spacing w:after="120"/>
      </w:pPr>
      <w:r>
        <w:t xml:space="preserve">La plateforme calcule automatiquement les droits et taxes : droits d'importation selon la tarification, TVA de 18 %, et montant total à payer.</w:t>
      </w:r>
    </w:p>
    <w:p>
      <w:pPr>
        <w:spacing w:after="120"/>
      </w:pPr>
      <w:r>
        <w:t xml:space="preserve">Un circuit de risque est attribué à chaque dossier : vert (levée immédiate), jaune (contrôle documentaire) ou rouge (inspection physique, éventuellement au scanner).</w:t>
      </w:r>
    </w:p>
    <w:p>
      <w:pPr>
        <w:spacing w:after="120"/>
      </w:pPr>
      <w:r>
        <w:t xml:space="preserve">L'agent des douanes peut valider le dédouanement, ordonner un contrôle complémentaire ou bloquer le dossier. Après validation et paiement, le bon d'enlèvement est généré numériquement.</w:t>
      </w:r>
    </w:p>
    <w:p>
      <w:pPr>
        <w:pStyle w:val="Heading2"/>
      </w:pPr>
      <w:r>
        <w:t xml:space="preserve">Procédure détaillée</w:t>
      </w:r>
    </w:p>
    <w:p>
      <w:pPr>
        <w:pStyle w:val="ListParagraph"/>
        <w:numPr>
          <w:ilvl w:val="0"/>
          <w:numId w:val="7"/>
        </w:numPr>
      </w:pPr>
      <w:r>
        <w:t xml:space="preserve">Le transitaire dépose la DAU et les pièces justificatives (facture, BL, certificat d'origine).</w:t>
      </w:r>
    </w:p>
    <w:p>
      <w:pPr>
        <w:pStyle w:val="ListParagraph"/>
        <w:numPr>
          <w:ilvl w:val="0"/>
          <w:numId w:val="7"/>
        </w:numPr>
      </w:pPr>
      <w:r>
        <w:t xml:space="preserve">La plateforme calcule les droits d'importation et la TVA à partir de la valeur déclarée.</w:t>
      </w:r>
    </w:p>
    <w:p>
      <w:pPr>
        <w:pStyle w:val="ListParagraph"/>
        <w:numPr>
          <w:ilvl w:val="0"/>
          <w:numId w:val="7"/>
        </w:numPr>
      </w:pPr>
      <w:r>
        <w:t xml:space="preserve">Le système de gestion des risques attribue un circuit vert, jaune ou rouge au dossier.</w:t>
      </w:r>
    </w:p>
    <w:p>
      <w:pPr>
        <w:pStyle w:val="ListParagraph"/>
        <w:numPr>
          <w:ilvl w:val="0"/>
          <w:numId w:val="7"/>
        </w:numPr>
      </w:pPr>
      <w:r>
        <w:t xml:space="preserve">L'agent des douanes examine la déclaration et les documents dans l'interface dédiée.</w:t>
      </w:r>
    </w:p>
    <w:p>
      <w:pPr>
        <w:pStyle w:val="ListParagraph"/>
        <w:numPr>
          <w:ilvl w:val="0"/>
          <w:numId w:val="7"/>
        </w:numPr>
      </w:pPr>
      <w:r>
        <w:t xml:space="preserve">Circuit jaune : contrôle documentaire approfondi. Circuit rouge : inspection physique ou passage au scanner.</w:t>
      </w:r>
    </w:p>
    <w:p>
      <w:pPr>
        <w:pStyle w:val="ListParagraph"/>
        <w:numPr>
          <w:ilvl w:val="0"/>
          <w:numId w:val="7"/>
        </w:numPr>
      </w:pPr>
      <w:r>
        <w:t xml:space="preserve">Après contrôle favorable, l'agent valide le dédouanement dans la plateforme.</w:t>
      </w:r>
    </w:p>
    <w:p>
      <w:pPr>
        <w:pStyle w:val="ListParagraph"/>
        <w:numPr>
          <w:ilvl w:val="0"/>
          <w:numId w:val="7"/>
        </w:numPr>
      </w:pPr>
      <w:r>
        <w:t xml:space="preserve">Le transitaire règle les droits et taxes calculés.</w:t>
      </w:r>
    </w:p>
    <w:p>
      <w:pPr>
        <w:pStyle w:val="ListParagraph"/>
        <w:numPr>
          <w:ilvl w:val="0"/>
          <w:numId w:val="7"/>
        </w:numPr>
      </w:pPr>
      <w:r>
        <w:t xml:space="preserve">Le bon d'enlèvement numérique est généré : le conteneur passe au statut dédouané puis prêt sortie.</w:t>
      </w:r>
    </w:p>
    <w:p>
      <w:pPr>
        <w:pStyle w:val="Heading2"/>
      </w:pPr>
      <w:r>
        <w:t xml:space="preserve">Avantages</w:t>
      </w:r>
    </w:p>
    <w:p>
      <w:pPr>
        <w:pStyle w:val="ListParagraph"/>
        <w:numPr>
          <w:ilvl w:val="0"/>
          <w:numId w:val="4"/>
        </w:numPr>
      </w:pPr>
      <w:r>
        <w:t xml:space="preserve">Délais de dédouanement raccourcis grâce à la dématérialisation des échanges.</w:t>
      </w:r>
    </w:p>
    <w:p>
      <w:pPr>
        <w:pStyle w:val="ListParagraph"/>
        <w:numPr>
          <w:ilvl w:val="0"/>
          <w:numId w:val="4"/>
        </w:numPr>
      </w:pPr>
      <w:r>
        <w:t xml:space="preserve">Calcul automatique et fiable des droits et taxes : moins de contestations.</w:t>
      </w:r>
    </w:p>
    <w:p>
      <w:pPr>
        <w:pStyle w:val="ListParagraph"/>
        <w:numPr>
          <w:ilvl w:val="0"/>
          <w:numId w:val="4"/>
        </w:numPr>
      </w:pPr>
      <w:r>
        <w:t xml:space="preserve">Traçabilité totale des décisions douanières (validation, contrôle, blocage).</w:t>
      </w:r>
    </w:p>
    <w:p>
      <w:pPr>
        <w:pStyle w:val="ListParagraph"/>
        <w:numPr>
          <w:ilvl w:val="0"/>
          <w:numId w:val="4"/>
        </w:numPr>
      </w:pPr>
      <w:r>
        <w:t xml:space="preserve">Lutte contre la fraude grâce au circuit de risque et à la journalisation.</w:t>
      </w:r>
    </w:p>
    <w:p>
      <w:pPr>
        <w:pStyle w:val="Heading1"/>
        <w:pageBreakBefore/>
      </w:pPr>
      <w:r>
        <w:t xml:space="preserve">6. Mouvements</w:t>
      </w:r>
    </w:p>
    <w:p>
      <w:pPr>
        <w:spacing w:after="120"/>
      </w:pPr>
      <w:r>
        <w:t xml:space="preserve">Le module Mouvements est le journal de bord du terminal : il trace chronologiquement tous les déplacements et changements d'état des conteneurs.</w:t>
      </w:r>
    </w:p>
    <w:p>
      <w:pPr>
        <w:pStyle w:val="Heading2"/>
      </w:pPr>
      <w:r>
        <w:t xml:space="preserve">Mode de fonctionnement</w:t>
      </w:r>
    </w:p>
    <w:p>
      <w:pPr>
        <w:spacing w:after="120"/>
      </w:pPr>
      <w:r>
        <w:t xml:space="preserve">Quatre types de mouvements sont enregistrés : arrivée (depuis le port maritime), transfert interne (entre zones), dédouanement (changement de statut douanier) et sortie.</w:t>
      </w:r>
    </w:p>
    <w:p>
      <w:pPr>
        <w:spacing w:after="120"/>
      </w:pPr>
      <w:r>
        <w:t xml:space="preserve">Chaque entrée mentionne le conteneur concerné, le type de mouvement, le point de départ, la destination, la date et l'heure, ainsi que l'opérateur responsable.</w:t>
      </w:r>
    </w:p>
    <w:p>
      <w:pPr>
        <w:spacing w:after="120"/>
      </w:pPr>
      <w:r>
        <w:t xml:space="preserve">Des filtres par type et une recherche permettent de reconstituer l'historique complet d'un conteneur ou l'activité d'une période donnée.</w:t>
      </w:r>
    </w:p>
    <w:p>
      <w:pPr>
        <w:pStyle w:val="Heading2"/>
      </w:pPr>
      <w:r>
        <w:t xml:space="preserve">Procédure détaillée</w:t>
      </w:r>
    </w:p>
    <w:p>
      <w:pPr>
        <w:pStyle w:val="ListParagraph"/>
        <w:numPr>
          <w:ilvl w:val="0"/>
          <w:numId w:val="8"/>
        </w:numPr>
      </w:pPr>
      <w:r>
        <w:t xml:space="preserve">Ouvrir la rubrique Mouvements.</w:t>
      </w:r>
    </w:p>
    <w:p>
      <w:pPr>
        <w:pStyle w:val="ListParagraph"/>
        <w:numPr>
          <w:ilvl w:val="0"/>
          <w:numId w:val="8"/>
        </w:numPr>
      </w:pPr>
      <w:r>
        <w:t xml:space="preserve">Consulter le flux chronologique des opérations du jour.</w:t>
      </w:r>
    </w:p>
    <w:p>
      <w:pPr>
        <w:pStyle w:val="ListParagraph"/>
        <w:numPr>
          <w:ilvl w:val="0"/>
          <w:numId w:val="8"/>
        </w:numPr>
      </w:pPr>
      <w:r>
        <w:t xml:space="preserve">Filtrer par type de mouvement (arrivée, transfert, dédouanement, sortie).</w:t>
      </w:r>
    </w:p>
    <w:p>
      <w:pPr>
        <w:pStyle w:val="ListParagraph"/>
        <w:numPr>
          <w:ilvl w:val="0"/>
          <w:numId w:val="8"/>
        </w:numPr>
      </w:pPr>
      <w:r>
        <w:t xml:space="preserve">Rechercher un numéro de conteneur pour reconstituer son parcours complet.</w:t>
      </w:r>
    </w:p>
    <w:p>
      <w:pPr>
        <w:pStyle w:val="ListParagraph"/>
        <w:numPr>
          <w:ilvl w:val="0"/>
          <w:numId w:val="8"/>
        </w:numPr>
      </w:pPr>
      <w:r>
        <w:t xml:space="preserve">Ouvrir le détail d'un mouvement pour vérifier l'opérateur, l'heure exacte et le conteneur associé.</w:t>
      </w:r>
    </w:p>
    <w:p>
      <w:pPr>
        <w:pStyle w:val="ListParagraph"/>
        <w:numPr>
          <w:ilvl w:val="0"/>
          <w:numId w:val="8"/>
        </w:numPr>
      </w:pPr>
      <w:r>
        <w:t xml:space="preserve">En cas de litige ou d'écart, utiliser cet historique comme preuve opposable.</w:t>
      </w:r>
    </w:p>
    <w:p>
      <w:pPr>
        <w:pStyle w:val="Heading2"/>
      </w:pPr>
      <w:r>
        <w:t xml:space="preserve">Avantages</w:t>
      </w:r>
    </w:p>
    <w:p>
      <w:pPr>
        <w:pStyle w:val="ListParagraph"/>
        <w:numPr>
          <w:ilvl w:val="0"/>
          <w:numId w:val="4"/>
        </w:numPr>
      </w:pPr>
      <w:r>
        <w:t xml:space="preserve">Traçabilité opérationnelle complète : chaque déplacement est horodaté et signé par un opérateur.</w:t>
      </w:r>
    </w:p>
    <w:p>
      <w:pPr>
        <w:pStyle w:val="ListParagraph"/>
        <w:numPr>
          <w:ilvl w:val="0"/>
          <w:numId w:val="4"/>
        </w:numPr>
      </w:pPr>
      <w:r>
        <w:t xml:space="preserve">Résolution rapide des litiges (conteneur égaré, délai, dommage).</w:t>
      </w:r>
    </w:p>
    <w:p>
      <w:pPr>
        <w:pStyle w:val="ListParagraph"/>
        <w:numPr>
          <w:ilvl w:val="0"/>
          <w:numId w:val="4"/>
        </w:numPr>
      </w:pPr>
      <w:r>
        <w:t xml:space="preserve">Contrôle de gestion : mesure de la productivité des équipes et des engins.</w:t>
      </w:r>
    </w:p>
    <w:p>
      <w:pPr>
        <w:pStyle w:val="Heading1"/>
        <w:pageBreakBefore/>
      </w:pPr>
      <w:r>
        <w:t xml:space="preserve">7. Transit — Transporteurs agréés</w:t>
      </w:r>
    </w:p>
    <w:p>
      <w:pPr>
        <w:spacing w:after="120"/>
      </w:pPr>
      <w:r>
        <w:t xml:space="preserve">Le module Transit met en relation les transitaires avec les transporteurs agréés capables d'enlever les conteneurs dédouanés. Il fonctionne comme une place de marché interne du port sec.</w:t>
      </w:r>
    </w:p>
    <w:p>
      <w:pPr>
        <w:pStyle w:val="Heading2"/>
      </w:pPr>
      <w:r>
        <w:t xml:space="preserve">Mode de fonctionnement</w:t>
      </w:r>
    </w:p>
    <w:p>
      <w:pPr>
        <w:spacing w:after="120"/>
      </w:pPr>
      <w:r>
        <w:t xml:space="preserve">La plateforme tient à jour la liste des transporteurs agréés : nom, numéro d'agrément, taille et composition de la flotte (nombre de camions disponibles), zones desservies, note de fiabilité et taux de ponctualité.</w:t>
      </w:r>
    </w:p>
    <w:p>
      <w:pPr>
        <w:spacing w:after="120"/>
      </w:pPr>
      <w:r>
        <w:t xml:space="preserve">Pour chaque transporteur, la distance et le temps estimé pour arriver au port sec de Kagbélen sont affichés, afin de planifier l'enlèvement.</w:t>
      </w:r>
    </w:p>
    <w:p>
      <w:pPr>
        <w:spacing w:after="120"/>
      </w:pPr>
      <w:r>
        <w:t xml:space="preserve">Le transitaire peut rechercher, filtrer par disponibilité et trier les transporteurs par temps d'arrivée, note, camions disponibles ou prix indicatif.</w:t>
      </w:r>
    </w:p>
    <w:p>
      <w:pPr>
        <w:pStyle w:val="Heading2"/>
      </w:pPr>
      <w:r>
        <w:t xml:space="preserve">Procédure détaillée</w:t>
      </w:r>
    </w:p>
    <w:p>
      <w:pPr>
        <w:pStyle w:val="ListParagraph"/>
        <w:numPr>
          <w:ilvl w:val="0"/>
          <w:numId w:val="9"/>
        </w:numPr>
      </w:pPr>
      <w:r>
        <w:t xml:space="preserve">Ouvrir la rubrique Transit.</w:t>
      </w:r>
    </w:p>
    <w:p>
      <w:pPr>
        <w:pStyle w:val="ListParagraph"/>
        <w:numPr>
          <w:ilvl w:val="0"/>
          <w:numId w:val="9"/>
        </w:numPr>
      </w:pPr>
      <w:r>
        <w:t xml:space="preserve">Sélectionner le conteneur prêt à sortir pour lequel un transport est recherché.</w:t>
      </w:r>
    </w:p>
    <w:p>
      <w:pPr>
        <w:pStyle w:val="ListParagraph"/>
        <w:numPr>
          <w:ilvl w:val="0"/>
          <w:numId w:val="9"/>
        </w:numPr>
      </w:pPr>
      <w:r>
        <w:t xml:space="preserve">Parcourir la liste des transporteurs agréés et leurs disponibilités.</w:t>
      </w:r>
    </w:p>
    <w:p>
      <w:pPr>
        <w:pStyle w:val="ListParagraph"/>
        <w:numPr>
          <w:ilvl w:val="0"/>
          <w:numId w:val="9"/>
        </w:numPr>
      </w:pPr>
      <w:r>
        <w:t xml:space="preserve">Trier par temps d'arrivée estimé (ETA) si l'enlèvement est urgent, ou par prix si le coût est prioritaire.</w:t>
      </w:r>
    </w:p>
    <w:p>
      <w:pPr>
        <w:pStyle w:val="ListParagraph"/>
        <w:numPr>
          <w:ilvl w:val="0"/>
          <w:numId w:val="9"/>
        </w:numPr>
      </w:pPr>
      <w:r>
        <w:t xml:space="preserve">Comparer la flotte, la note de fiabilité et la ponctualité des transporteurs retenus.</w:t>
      </w:r>
    </w:p>
    <w:p>
      <w:pPr>
        <w:pStyle w:val="ListParagraph"/>
        <w:numPr>
          <w:ilvl w:val="0"/>
          <w:numId w:val="9"/>
        </w:numPr>
      </w:pPr>
      <w:r>
        <w:t xml:space="preserve">Contacter le transporteur choisi (téléphone affiché sur la fiche) et confirmer la mission.</w:t>
      </w:r>
    </w:p>
    <w:p>
      <w:pPr>
        <w:pStyle w:val="ListParagraph"/>
        <w:numPr>
          <w:ilvl w:val="0"/>
          <w:numId w:val="9"/>
        </w:numPr>
      </w:pPr>
      <w:r>
        <w:t xml:space="preserve">Le bon de sortie correspondant est ensuite préparé dans le module Sorties / Transport.</w:t>
      </w:r>
    </w:p>
    <w:p>
      <w:pPr>
        <w:pStyle w:val="Heading2"/>
      </w:pPr>
      <w:r>
        <w:t xml:space="preserve">Avantages</w:t>
      </w:r>
    </w:p>
    <w:p>
      <w:pPr>
        <w:pStyle w:val="ListParagraph"/>
        <w:numPr>
          <w:ilvl w:val="0"/>
          <w:numId w:val="4"/>
        </w:numPr>
      </w:pPr>
      <w:r>
        <w:t xml:space="preserve">Choix éclairé : le transitaire compare objectivement les transporteurs (flotte, distance, fiabilité, prix).</w:t>
      </w:r>
    </w:p>
    <w:p>
      <w:pPr>
        <w:pStyle w:val="ListParagraph"/>
        <w:numPr>
          <w:ilvl w:val="0"/>
          <w:numId w:val="4"/>
        </w:numPr>
      </w:pPr>
      <w:r>
        <w:t xml:space="preserve">Réduction des temps d'attente des camions au port sec grâce à la connaissance du temps d'arrivée.</w:t>
      </w:r>
    </w:p>
    <w:p>
      <w:pPr>
        <w:pStyle w:val="ListParagraph"/>
        <w:numPr>
          <w:ilvl w:val="0"/>
          <w:numId w:val="4"/>
        </w:numPr>
      </w:pPr>
      <w:r>
        <w:t xml:space="preserve">Sécurisation des opérations : seuls les transporteurs agréés sont référencés.</w:t>
      </w:r>
    </w:p>
    <w:p>
      <w:pPr>
        <w:pStyle w:val="ListParagraph"/>
        <w:numPr>
          <w:ilvl w:val="0"/>
          <w:numId w:val="4"/>
        </w:numPr>
      </w:pPr>
      <w:r>
        <w:t xml:space="preserve">Amélioration continue : les notes de ponctualité incitent les transporteurs à la qualité.</w:t>
      </w:r>
    </w:p>
    <w:p>
      <w:pPr>
        <w:pStyle w:val="Heading1"/>
        <w:pageBreakBefore/>
      </w:pPr>
      <w:r>
        <w:t xml:space="preserve">8. Sorties / Transport</w:t>
      </w:r>
    </w:p>
    <w:p>
      <w:pPr>
        <w:spacing w:after="120"/>
      </w:pPr>
      <w:r>
        <w:t xml:space="preserve">Le module Sorties / Transport gère la dernière étape du conteneur au port sec : l'édition du bon de sortie et l'organisation de son chargement sur un camion ou un wagon.</w:t>
      </w:r>
    </w:p>
    <w:p>
      <w:pPr>
        <w:pStyle w:val="Heading2"/>
      </w:pPr>
      <w:r>
        <w:t xml:space="preserve">Mode de fonctionnement</w:t>
      </w:r>
    </w:p>
    <w:p>
      <w:pPr>
        <w:spacing w:after="120"/>
      </w:pPr>
      <w:r>
        <w:t xml:space="preserve">Un bon de sortie est créé pour chaque conteneur prêt à partir : il référence le conteneur, le client, le transporteur, le chauffeur, la plaque du véhicule et la destination.</w:t>
      </w:r>
    </w:p>
    <w:p>
      <w:pPr>
        <w:spacing w:after="120"/>
      </w:pPr>
      <w:r>
        <w:t xml:space="preserve">Chaque enlèvement suit une progression en quatre étapes : planifié, chargé, en route, livré. Le statut est mis à jour à chaque étape.</w:t>
      </w:r>
    </w:p>
    <w:p>
      <w:pPr>
        <w:spacing w:after="120"/>
      </w:pPr>
      <w:r>
        <w:t xml:space="preserve">Le portique de sortie vérifie la concordance entre le bon, le conteneur et le véhicule avant d'autoriser le départ.</w:t>
      </w:r>
    </w:p>
    <w:p>
      <w:pPr>
        <w:pStyle w:val="Heading2"/>
      </w:pPr>
      <w:r>
        <w:t xml:space="preserve">Procédure détaillée</w:t>
      </w:r>
    </w:p>
    <w:p>
      <w:pPr>
        <w:pStyle w:val="ListParagraph"/>
        <w:numPr>
          <w:ilvl w:val="0"/>
          <w:numId w:val="10"/>
        </w:numPr>
      </w:pPr>
      <w:r>
        <w:t xml:space="preserve">Ouvrir la rubrique Sorties / Transport.</w:t>
      </w:r>
    </w:p>
    <w:p>
      <w:pPr>
        <w:pStyle w:val="ListParagraph"/>
        <w:numPr>
          <w:ilvl w:val="0"/>
          <w:numId w:val="10"/>
        </w:numPr>
      </w:pPr>
      <w:r>
        <w:t xml:space="preserve">Créer un bon de sortie à partir d'un conteneur au statut prêt sortie.</w:t>
      </w:r>
    </w:p>
    <w:p>
      <w:pPr>
        <w:pStyle w:val="ListParagraph"/>
        <w:numPr>
          <w:ilvl w:val="0"/>
          <w:numId w:val="10"/>
        </w:numPr>
      </w:pPr>
      <w:r>
        <w:t xml:space="preserve">Renseigner le transporteur, le chauffeur et la plaque d'immatriculation du véhicule.</w:t>
      </w:r>
    </w:p>
    <w:p>
      <w:pPr>
        <w:pStyle w:val="ListParagraph"/>
        <w:numPr>
          <w:ilvl w:val="0"/>
          <w:numId w:val="10"/>
        </w:numPr>
      </w:pPr>
      <w:r>
        <w:t xml:space="preserve">Imprimer ou transmettre le bon de sortie au transporteur.</w:t>
      </w:r>
    </w:p>
    <w:p>
      <w:pPr>
        <w:pStyle w:val="ListParagraph"/>
        <w:numPr>
          <w:ilvl w:val="0"/>
          <w:numId w:val="10"/>
        </w:numPr>
      </w:pPr>
      <w:r>
        <w:t xml:space="preserve">À l'arrivée du camion, contrôler les documents et procéder au chargement : passer le statut à chargé.</w:t>
      </w:r>
    </w:p>
    <w:p>
      <w:pPr>
        <w:pStyle w:val="ListParagraph"/>
        <w:numPr>
          <w:ilvl w:val="0"/>
          <w:numId w:val="10"/>
        </w:numPr>
      </w:pPr>
      <w:r>
        <w:t xml:space="preserve">Au franchissement du portique, valider la sortie : le statut passe à en route et l'emplacement de stockage est libéré.</w:t>
      </w:r>
    </w:p>
    <w:p>
      <w:pPr>
        <w:pStyle w:val="ListParagraph"/>
        <w:numPr>
          <w:ilvl w:val="0"/>
          <w:numId w:val="10"/>
        </w:numPr>
      </w:pPr>
      <w:r>
        <w:t xml:space="preserve">Suivre la progression jusqu'à la confirmation de livraison.</w:t>
      </w:r>
    </w:p>
    <w:p>
      <w:pPr>
        <w:pStyle w:val="ListParagraph"/>
        <w:numPr>
          <w:ilvl w:val="0"/>
          <w:numId w:val="10"/>
        </w:numPr>
      </w:pPr>
      <w:r>
        <w:t xml:space="preserve">En cas d'imprévu, annuler le bon de sortie et replanifier l'enlèvement.</w:t>
      </w:r>
    </w:p>
    <w:p>
      <w:pPr>
        <w:pStyle w:val="Heading2"/>
      </w:pPr>
      <w:r>
        <w:t xml:space="preserve">Avantages</w:t>
      </w:r>
    </w:p>
    <w:p>
      <w:pPr>
        <w:pStyle w:val="ListParagraph"/>
        <w:numPr>
          <w:ilvl w:val="0"/>
          <w:numId w:val="4"/>
        </w:numPr>
      </w:pPr>
      <w:r>
        <w:t xml:space="preserve">Sécurité renforcée : aucun conteneur ne quitte le terminal sans bon de sortie vérifié.</w:t>
      </w:r>
    </w:p>
    <w:p>
      <w:pPr>
        <w:pStyle w:val="ListParagraph"/>
        <w:numPr>
          <w:ilvl w:val="0"/>
          <w:numId w:val="4"/>
        </w:numPr>
      </w:pPr>
      <w:r>
        <w:t xml:space="preserve">Fluidification du portique de sortie grâce aux contrôles numériques.</w:t>
      </w:r>
    </w:p>
    <w:p>
      <w:pPr>
        <w:pStyle w:val="ListParagraph"/>
        <w:numPr>
          <w:ilvl w:val="0"/>
          <w:numId w:val="4"/>
        </w:numPr>
      </w:pPr>
      <w:r>
        <w:t xml:space="preserve">Libération immédiate des emplacements, ce qui optimise la capacité de stockage.</w:t>
      </w:r>
    </w:p>
    <w:p>
      <w:pPr>
        <w:pStyle w:val="ListParagraph"/>
        <w:numPr>
          <w:ilvl w:val="0"/>
          <w:numId w:val="4"/>
        </w:numPr>
      </w:pPr>
      <w:r>
        <w:t xml:space="preserve">Visibilité partagée avec le client final sur l'avancement de sa livraison.</w:t>
      </w:r>
    </w:p>
    <w:p>
      <w:pPr>
        <w:pStyle w:val="Heading1"/>
        <w:pageBreakBefore/>
      </w:pPr>
      <w:r>
        <w:t xml:space="preserve">9. Suivi cartographique</w:t>
      </w:r>
    </w:p>
    <w:p>
      <w:pPr>
        <w:spacing w:after="120"/>
      </w:pPr>
      <w:r>
        <w:t xml:space="preserve">Le suivi cartographique permet au transitaire et au client de suivre l'enlèvement d'un conteneur, avant et après le départ du port sec, jusqu'à la livraison finale, sur une carte de la Guinée et de la sous-région.</w:t>
      </w:r>
    </w:p>
    <w:p>
      <w:pPr>
        <w:pStyle w:val="Heading2"/>
      </w:pPr>
      <w:r>
        <w:t xml:space="preserve">Mode de fonctionnement</w:t>
      </w:r>
    </w:p>
    <w:p>
      <w:pPr>
        <w:spacing w:after="120"/>
      </w:pPr>
      <w:r>
        <w:t xml:space="preserve">La carte est centrée sur le port sec de Kagbélen, près de Conakry. Elle affiche les trajets des enlèvements en cours vers les destinations intérieures (Kindia, Mamou, Labé, Kankan, Siguiri, Kamsar) et la sous-région (Bamako au Mali).</w:t>
      </w:r>
    </w:p>
    <w:p>
      <w:pPr>
        <w:spacing w:after="120"/>
      </w:pPr>
      <w:r>
        <w:t xml:space="preserve">Chaque camion est représenté par un marqueur dont la position est mise à jour le long de l'itinéraire. Le trajet effectué et le trajet restant sont matérialisés sur la carte.</w:t>
      </w:r>
    </w:p>
    <w:p>
      <w:pPr>
        <w:spacing w:after="120"/>
      </w:pPr>
      <w:r>
        <w:t xml:space="preserve">Un panneau latéral affiche pour chaque enlèvement le conteneur transporté, le chauffeur, le statut (chargement, en route, arrivé), l'heure d'arrivée estimée et le pourcentage de progression.</w:t>
      </w:r>
    </w:p>
    <w:p>
      <w:pPr>
        <w:pStyle w:val="Heading2"/>
      </w:pPr>
      <w:r>
        <w:t xml:space="preserve">Procédure détaillée</w:t>
      </w:r>
    </w:p>
    <w:p>
      <w:pPr>
        <w:pStyle w:val="ListParagraph"/>
        <w:numPr>
          <w:ilvl w:val="0"/>
          <w:numId w:val="11"/>
        </w:numPr>
      </w:pPr>
      <w:r>
        <w:t xml:space="preserve">Ouvrir la rubrique Suivi cartographique.</w:t>
      </w:r>
    </w:p>
    <w:p>
      <w:pPr>
        <w:pStyle w:val="ListParagraph"/>
        <w:numPr>
          <w:ilvl w:val="0"/>
          <w:numId w:val="11"/>
        </w:numPr>
      </w:pPr>
      <w:r>
        <w:t xml:space="preserve">Repérer sur la carte les camions en cours de mission et leurs itinéraires.</w:t>
      </w:r>
    </w:p>
    <w:p>
      <w:pPr>
        <w:pStyle w:val="ListParagraph"/>
        <w:numPr>
          <w:ilvl w:val="0"/>
          <w:numId w:val="11"/>
        </w:numPr>
      </w:pPr>
      <w:r>
        <w:t xml:space="preserve">Filtrer la liste par statut : chargement au port, en route, livré.</w:t>
      </w:r>
    </w:p>
    <w:p>
      <w:pPr>
        <w:pStyle w:val="ListParagraph"/>
        <w:numPr>
          <w:ilvl w:val="0"/>
          <w:numId w:val="11"/>
        </w:numPr>
      </w:pPr>
      <w:r>
        <w:t xml:space="preserve">Cliquer sur un enlèvement pour afficher son trajet et son marqueur sur la carte.</w:t>
      </w:r>
    </w:p>
    <w:p>
      <w:pPr>
        <w:pStyle w:val="ListParagraph"/>
        <w:numPr>
          <w:ilvl w:val="0"/>
          <w:numId w:val="11"/>
        </w:numPr>
      </w:pPr>
      <w:r>
        <w:t xml:space="preserve">Consulter l'heure d'arrivée estimée et la progression en pourcentage.</w:t>
      </w:r>
    </w:p>
    <w:p>
      <w:pPr>
        <w:pStyle w:val="ListParagraph"/>
        <w:numPr>
          <w:ilvl w:val="0"/>
          <w:numId w:val="11"/>
        </w:numPr>
      </w:pPr>
      <w:r>
        <w:t xml:space="preserve">Avant le départ, suivre l'approche du camion vers le port sec ; après le départ, suivre la progression jusqu'à la livraison.</w:t>
      </w:r>
    </w:p>
    <w:p>
      <w:pPr>
        <w:pStyle w:val="ListParagraph"/>
        <w:numPr>
          <w:ilvl w:val="0"/>
          <w:numId w:val="11"/>
        </w:numPr>
      </w:pPr>
      <w:r>
        <w:t xml:space="preserve">Informer le client final de l'avancement de sa marchandise en partageant ces informations.</w:t>
      </w:r>
    </w:p>
    <w:p>
      <w:pPr>
        <w:pStyle w:val="Heading2"/>
      </w:pPr>
      <w:r>
        <w:t xml:space="preserve">Avantages</w:t>
      </w:r>
    </w:p>
    <w:p>
      <w:pPr>
        <w:pStyle w:val="ListParagraph"/>
        <w:numPr>
          <w:ilvl w:val="0"/>
          <w:numId w:val="4"/>
        </w:numPr>
      </w:pPr>
      <w:r>
        <w:t xml:space="preserve">Visibilité de bout en bout : le transitaire suit son conteneur du port sec jusqu'à la livraison.</w:t>
      </w:r>
    </w:p>
    <w:p>
      <w:pPr>
        <w:pStyle w:val="ListParagraph"/>
        <w:numPr>
          <w:ilvl w:val="0"/>
          <w:numId w:val="4"/>
        </w:numPr>
      </w:pPr>
      <w:r>
        <w:t xml:space="preserve">Anticipation des retards grâce à l'heure d'arrivée estimée actualisée.</w:t>
      </w:r>
    </w:p>
    <w:p>
      <w:pPr>
        <w:pStyle w:val="ListParagraph"/>
        <w:numPr>
          <w:ilvl w:val="0"/>
          <w:numId w:val="4"/>
        </w:numPr>
      </w:pPr>
      <w:r>
        <w:t xml:space="preserve">Confiance accrue du client final, qui n'a plus besoin d'appeler pour avoir des nouvelles.</w:t>
      </w:r>
    </w:p>
    <w:p>
      <w:pPr>
        <w:pStyle w:val="ListParagraph"/>
        <w:numPr>
          <w:ilvl w:val="0"/>
          <w:numId w:val="4"/>
        </w:numPr>
      </w:pPr>
      <w:r>
        <w:t xml:space="preserve">Couverture adaptée au contexte guinéen : corridors Conakry-Kankan, Conakry-Bamako et desserte de Boké/Kamsar.</w:t>
      </w:r>
    </w:p>
    <w:p>
      <w:pPr>
        <w:pStyle w:val="Heading1"/>
        <w:pageBreakBefore/>
      </w:pPr>
      <w:r>
        <w:t xml:space="preserve">10. Facturation</w:t>
      </w:r>
    </w:p>
    <w:p>
      <w:pPr>
        <w:spacing w:after="120"/>
      </w:pPr>
      <w:r>
        <w:t xml:space="preserve">Le module Facturation assure l'émission, le suivi et l'encaissement des factures correspondant aux prestations réalisées au port sec.</w:t>
      </w:r>
    </w:p>
    <w:p>
      <w:pPr>
        <w:pStyle w:val="Heading2"/>
      </w:pPr>
      <w:r>
        <w:t xml:space="preserve">Mode de fonctionnement</w:t>
      </w:r>
    </w:p>
    <w:p>
      <w:pPr>
        <w:spacing w:after="120"/>
      </w:pPr>
      <w:r>
        <w:t xml:space="preserve">Les prestations facturées sont : la manutention de déchargement, le stockage journalier, le gardiennage et la sécurité, l'assistance au dédouanement, le passage au scanner et la manutention de sortie / chargement.</w:t>
      </w:r>
    </w:p>
    <w:p>
      <w:pPr>
        <w:spacing w:after="120"/>
      </w:pPr>
      <w:r>
        <w:t xml:space="preserve">Chaque facture est calculée automatiquement à partir des caractéristiques du conteneur : un coefficient est appliqué selon la taille (20', 40', 45') et le stockage est facturé au prorata du nombre de jours passés sur le terminal.</w:t>
      </w:r>
    </w:p>
    <w:p>
      <w:pPr>
        <w:spacing w:after="120"/>
      </w:pPr>
      <w:r>
        <w:t xml:space="preserve">La facture détaille le total hors taxes, la TVA de 18 % et le total TTC en francs guinéens (GNF). Les statuts possibles sont : brouillon, émise, payée et en retard.</w:t>
      </w:r>
    </w:p>
    <w:p>
      <w:pPr>
        <w:spacing w:after="120"/>
      </w:pPr>
      <w:r>
        <w:t xml:space="preserve">Des indicateurs de synthèse affichent le chiffre facturé, les montants encaissés, en attente et en retard.</w:t>
      </w:r>
    </w:p>
    <w:p>
      <w:pPr>
        <w:pStyle w:val="Heading2"/>
      </w:pPr>
      <w:r>
        <w:t xml:space="preserve">Procédure détaillée</w:t>
      </w:r>
    </w:p>
    <w:p>
      <w:pPr>
        <w:pStyle w:val="ListParagraph"/>
        <w:numPr>
          <w:ilvl w:val="0"/>
          <w:numId w:val="12"/>
        </w:numPr>
      </w:pPr>
      <w:r>
        <w:t xml:space="preserve">Ouvrir la rubrique Facturation.</w:t>
      </w:r>
    </w:p>
    <w:p>
      <w:pPr>
        <w:pStyle w:val="ListParagraph"/>
        <w:numPr>
          <w:ilvl w:val="0"/>
          <w:numId w:val="12"/>
        </w:numPr>
      </w:pPr>
      <w:r>
        <w:t xml:space="preserve">Consulter les indicateurs : chiffre facturé, encaissé, en attente et retards de paiement.</w:t>
      </w:r>
    </w:p>
    <w:p>
      <w:pPr>
        <w:pStyle w:val="ListParagraph"/>
        <w:numPr>
          <w:ilvl w:val="0"/>
          <w:numId w:val="12"/>
        </w:numPr>
      </w:pPr>
      <w:r>
        <w:t xml:space="preserve">Rechercher une facture par numéro, conteneur ou client, ou filtrer par statut.</w:t>
      </w:r>
    </w:p>
    <w:p>
      <w:pPr>
        <w:pStyle w:val="ListParagraph"/>
        <w:numPr>
          <w:ilvl w:val="0"/>
          <w:numId w:val="12"/>
        </w:numPr>
      </w:pPr>
      <w:r>
        <w:t xml:space="preserve">Vérifier le brouillon de facture généré : lignes de prestations, quantités et montants.</w:t>
      </w:r>
    </w:p>
    <w:p>
      <w:pPr>
        <w:pStyle w:val="ListParagraph"/>
        <w:numPr>
          <w:ilvl w:val="0"/>
          <w:numId w:val="12"/>
        </w:numPr>
      </w:pPr>
      <w:r>
        <w:t xml:space="preserve">Cliquer sur Émettre / Envoyer pour adresser la facture au client.</w:t>
      </w:r>
    </w:p>
    <w:p>
      <w:pPr>
        <w:pStyle w:val="ListParagraph"/>
        <w:numPr>
          <w:ilvl w:val="0"/>
          <w:numId w:val="12"/>
        </w:numPr>
      </w:pPr>
      <w:r>
        <w:t xml:space="preserve">À réception du règlement, cliquer sur Marquer payée pour solder la facture.</w:t>
      </w:r>
    </w:p>
    <w:p>
      <w:pPr>
        <w:pStyle w:val="ListParagraph"/>
        <w:numPr>
          <w:ilvl w:val="0"/>
          <w:numId w:val="12"/>
        </w:numPr>
      </w:pPr>
      <w:r>
        <w:t xml:space="preserve">Surveiller l'onglet Retards et relancer les clients dont l'échéance est dépassée.</w:t>
      </w:r>
    </w:p>
    <w:p>
      <w:pPr>
        <w:pStyle w:val="ListParagraph"/>
        <w:numPr>
          <w:ilvl w:val="0"/>
          <w:numId w:val="12"/>
        </w:numPr>
      </w:pPr>
      <w:r>
        <w:t xml:space="preserve">Imprimer la facture au format PDF ou exporter les données comptables.</w:t>
      </w:r>
    </w:p>
    <w:p>
      <w:pPr>
        <w:pStyle w:val="Heading2"/>
      </w:pPr>
      <w:r>
        <w:t xml:space="preserve">Avantages</w:t>
      </w:r>
    </w:p>
    <w:p>
      <w:pPr>
        <w:pStyle w:val="ListParagraph"/>
        <w:numPr>
          <w:ilvl w:val="0"/>
          <w:numId w:val="4"/>
        </w:numPr>
      </w:pPr>
      <w:r>
        <w:t xml:space="preserve">Facturation automatique et sans omission : chaque prestation réalisée est facturée.</w:t>
      </w:r>
    </w:p>
    <w:p>
      <w:pPr>
        <w:pStyle w:val="ListParagraph"/>
        <w:numPr>
          <w:ilvl w:val="0"/>
          <w:numId w:val="4"/>
        </w:numPr>
      </w:pPr>
      <w:r>
        <w:t xml:space="preserve">Calculs fiables : coefficient de taille, prorata des jours de stockage et TVA appliqués systématiquement.</w:t>
      </w:r>
    </w:p>
    <w:p>
      <w:pPr>
        <w:pStyle w:val="ListParagraph"/>
        <w:numPr>
          <w:ilvl w:val="0"/>
          <w:numId w:val="4"/>
        </w:numPr>
      </w:pPr>
      <w:r>
        <w:t xml:space="preserve">Pilotage de la trésorerie grâce aux indicateurs d'encaissement et de retard.</w:t>
      </w:r>
    </w:p>
    <w:p>
      <w:pPr>
        <w:pStyle w:val="ListParagraph"/>
        <w:numPr>
          <w:ilvl w:val="0"/>
          <w:numId w:val="4"/>
        </w:numPr>
      </w:pPr>
      <w:r>
        <w:t xml:space="preserve">Gain de temps administratif et réduction des litiges grâce au détail transparent des prestations.</w:t>
      </w:r>
    </w:p>
    <w:p>
      <w:pPr>
        <w:pStyle w:val="Heading1"/>
        <w:pageBreakBefore/>
      </w:pPr>
      <w:r>
        <w:t xml:space="preserve">11. Avantages généraux de la plateforme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rPr>
              <w:t xml:space="preserve">Avantage</w:t>
            </w:r>
          </w:p>
        </w:tc>
        <w:tc>
          <w:tcPr>
            <w:tcW w:type="dxa" w:w="676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rPr>
              <w:t xml:space="preserve">Description</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Gain de temps</w:t>
            </w:r>
          </w:p>
        </w:tc>
        <w:tc>
          <w:tcPr>
            <w:tcW w:type="dxa" w:w="6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Suppression des saisies manuelles redondantes et des échanges papier entre les acteurs.</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Visibilité totale</w:t>
            </w:r>
          </w:p>
        </w:tc>
        <w:tc>
          <w:tcPr>
            <w:tcW w:type="dxa" w:w="6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Une information unique, à jour et partagée par l'administrateur, les douanes, les transitaires et les clients.</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Conformité douanière</w:t>
            </w:r>
          </w:p>
        </w:tc>
        <w:tc>
          <w:tcPr>
            <w:tcW w:type="dxa" w:w="6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Traçabilité documentaire et journalisation de toutes les décisions et validations.</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Optimisation des ressources</w:t>
            </w:r>
          </w:p>
        </w:tc>
        <w:tc>
          <w:tcPr>
            <w:tcW w:type="dxa" w:w="6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Meilleure utilisation des zones de stockage, des engins de manutention et du personnel.</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Sécurité des opérations</w:t>
            </w:r>
          </w:p>
        </w:tc>
        <w:tc>
          <w:tcPr>
            <w:tcW w:type="dxa" w:w="6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Contrôle des sorties par bons numériques et référencement des seuls transporteurs agréés.</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Sécurité des données</w:t>
            </w:r>
          </w:p>
        </w:tc>
        <w:tc>
          <w:tcPr>
            <w:tcW w:type="dxa" w:w="6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Gestion des rôles : chaque utilisateur n'accède qu'aux fonctions de son profil.</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Évolutivité</w:t>
            </w:r>
          </w:p>
        </w:tc>
        <w:tc>
          <w:tcPr>
            <w:tcW w:type="dxa" w:w="6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Architecture modulaire permettant d'ajouter de nouveaux services (rail, entrepôts sous douane, paiement mobile).</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Décongestion portuaire</w:t>
            </w:r>
          </w:p>
        </w:tc>
        <w:tc>
          <w:tcPr>
            <w:tcW w:type="dxa" w:w="6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Contribution directe à la fluidification du port de Conakry par le déport des opérations vers l'intérieur.</w:t>
            </w:r>
          </w:p>
        </w:tc>
      </w:tr>
    </w:tbl>
    <w:p>
      <w:pPr>
        <w:spacing w:after="240"/>
      </w:pPr>
    </w:p>
    <w:p>
      <w:pPr>
        <w:spacing w:after="120"/>
        <w:rPr>
          <w:i/>
          <w:iCs/>
        </w:rPr>
      </w:pPr>
      <w:r>
        <w:rPr>
          <w:i/>
          <w:iCs/>
        </w:rPr>
        <w:t xml:space="preserve">DryPort OS s'inscrit ainsi dans la modernisation de la chaîne logistique guinéenne : en numérisant les opérations du port sec de Kagbélen, la plateforme fluidifie les corridors d'importation vers l'intérieur du pays et la sous-région, réduit les coûts logistiques et renforce la transparence pour l'ensemble des acteurs.</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t xml:space="preserve">Page </w:t>
    </w:r>
    <w:r>
      <w:rPr>
        <w:color w:val="888888"/>
        <w:sz w:val="18"/>
        <w:szCs w:val="18"/>
      </w:rPr>
      <w:fldChar w:fldCharType="begin"/>
    </w:r>
    <w:r>
      <w:rPr>
        <w:color w:val="888888"/>
        <w:sz w:val="18"/>
        <w:szCs w:val="18"/>
      </w:rPr>
      <w:instrText xml:space="preserve">PAGE</w:instrText>
    </w:r>
    <w:r>
      <w:rPr>
        <w:color w:val="888888"/>
        <w:sz w:val="18"/>
        <w:szCs w:val="18"/>
      </w:rPr>
      <w:fldChar w:fldCharType="separate"/>
    </w:r>
    <w:r>
      <w:rPr>
        <w:color w:val="888888"/>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8"/>
        <w:szCs w:val="18"/>
      </w:rPr>
      <w:t xml:space="preserve">DryPort OS — Guide de la plateforme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abstractNum w:abstractNumId="4" w15:restartNumberingAfterBreak="0">
    <w:multiLevelType w:val="hybridMultilevel"/>
    <w:lvl w:ilvl="0" w:tentative="1">
      <w:start w:val="1"/>
      <w:numFmt w:val="decimal"/>
      <w:lvlText w:val="%1."/>
      <w:lvlJc w:val="left"/>
      <w:pPr>
        <w:ind w:left="720" w:hanging="360"/>
      </w:pPr>
    </w:lvl>
  </w:abstractNum>
  <w:abstractNum w:abstractNumId="5" w15:restartNumberingAfterBreak="0">
    <w:multiLevelType w:val="hybridMultilevel"/>
    <w:lvl w:ilvl="0" w:tentative="1">
      <w:start w:val="1"/>
      <w:numFmt w:val="decimal"/>
      <w:lvlText w:val="%1."/>
      <w:lvlJc w:val="left"/>
      <w:pPr>
        <w:ind w:left="720" w:hanging="360"/>
      </w:pPr>
    </w:lvl>
  </w:abstractNum>
  <w:abstractNum w:abstractNumId="6" w15:restartNumberingAfterBreak="0">
    <w:multiLevelType w:val="hybridMultilevel"/>
    <w:lvl w:ilvl="0" w:tentative="1">
      <w:start w:val="1"/>
      <w:numFmt w:val="decimal"/>
      <w:lvlText w:val="%1."/>
      <w:lvlJc w:val="left"/>
      <w:pPr>
        <w:ind w:left="720" w:hanging="360"/>
      </w:pPr>
    </w:lvl>
  </w:abstractNum>
  <w:abstractNum w:abstractNumId="7" w15:restartNumberingAfterBreak="0">
    <w:multiLevelType w:val="hybridMultilevel"/>
    <w:lvl w:ilvl="0" w:tentative="1">
      <w:start w:val="1"/>
      <w:numFmt w:val="decimal"/>
      <w:lvlText w:val="%1."/>
      <w:lvlJc w:val="left"/>
      <w:pPr>
        <w:ind w:left="720" w:hanging="360"/>
      </w:pPr>
    </w:lvl>
  </w:abstractNum>
  <w:abstractNum w:abstractNumId="8" w15:restartNumberingAfterBreak="0">
    <w:multiLevelType w:val="hybridMultilevel"/>
    <w:lvl w:ilvl="0" w:tentative="1">
      <w:start w:val="1"/>
      <w:numFmt w:val="decimal"/>
      <w:lvlText w:val="%1."/>
      <w:lvlJc w:val="left"/>
      <w:pPr>
        <w:ind w:left="720" w:hanging="360"/>
      </w:pPr>
    </w:lvl>
  </w:abstractNum>
  <w:abstractNum w:abstractNumId="9" w15:restartNumberingAfterBreak="0">
    <w:multiLevelType w:val="hybridMultilevel"/>
    <w:lvl w:ilvl="0" w:tentative="1">
      <w:start w:val="1"/>
      <w:numFmt w:val="decimal"/>
      <w:lvlText w:val="%1."/>
      <w:lvlJc w:val="left"/>
      <w:pPr>
        <w:ind w:left="720" w:hanging="360"/>
      </w:pPr>
    </w:lvl>
  </w:abstractNum>
  <w:abstractNum w:abstractNumId="10" w15:restartNumberingAfterBreak="0">
    <w:multiLevelType w:val="hybridMultilevel"/>
    <w:lvl w:ilvl="0" w:tentative="1">
      <w:start w:val="1"/>
      <w:numFmt w:val="decimal"/>
      <w:lvlText w:val="%1."/>
      <w:lvlJc w:val="left"/>
      <w:pPr>
        <w:ind w:left="720" w:hanging="360"/>
      </w:pPr>
    </w:lvl>
  </w:abstractNum>
  <w:abstractNum w:abstractNumId="11" w15:restartNumberingAfterBreak="0">
    <w:multiLevelType w:val="hybridMultilevel"/>
    <w:lvl w:ilvl="0" w:tentative="1">
      <w:start w:val="1"/>
      <w:numFmt w:val="decimal"/>
      <w:lvlText w:val="%1."/>
      <w:lvlJc w:val="left"/>
      <w:pPr>
        <w:ind w:left="720" w:hanging="360"/>
      </w:pPr>
    </w:lvl>
  </w:abstractNum>
  <w:abstractNum w:abstractNumId="1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12"/>
    <w:lvlOverride w:ilvl="0">
      <w:startOverride w:val="1"/>
    </w:lvlOverride>
  </w:num>
  <w:num w:numId="3">
    <w:abstractNumId w:val="3"/>
    <w:lvlOverride w:ilvl="0">
      <w:startOverride w:val="1"/>
    </w:lvlOverride>
  </w:num>
  <w:num w:numId="4">
    <w:abstractNumId w:val="2"/>
    <w:lvlOverride w:ilvl="0">
      <w:startOverride w:val="1"/>
    </w:lvlOverride>
  </w:num>
  <w:num w:numId="5">
    <w:abstractNumId w:val="4"/>
    <w:lvlOverride w:ilvl="0">
      <w:startOverride w:val="1"/>
    </w:lvlOverride>
  </w:num>
  <w:num w:numId="6">
    <w:abstractNumId w:val="5"/>
    <w:lvlOverride w:ilvl="0">
      <w:startOverride w:val="1"/>
    </w:lvlOverride>
  </w:num>
  <w:num w:numId="7">
    <w:abstractNumId w:val="6"/>
    <w:lvlOverride w:ilvl="0">
      <w:startOverride w:val="1"/>
    </w:lvlOverride>
  </w:num>
  <w:num w:numId="8">
    <w:abstractNumId w:val="7"/>
    <w:lvlOverride w:ilvl="0">
      <w:startOverride w:val="1"/>
    </w:lvlOverride>
  </w:num>
  <w:num w:numId="9">
    <w:abstractNumId w:val="8"/>
    <w:lvlOverride w:ilvl="0">
      <w:startOverride w:val="1"/>
    </w:lvlOverride>
  </w:num>
  <w:num w:numId="10">
    <w:abstractNumId w:val="9"/>
    <w:lvlOverride w:ilvl="0">
      <w:startOverride w:val="1"/>
    </w:lvlOverride>
  </w:num>
  <w:num w:numId="11">
    <w:abstractNumId w:val="10"/>
    <w:lvlOverride w:ilvl="0">
      <w:startOverride w:val="1"/>
    </w:lvlOverride>
  </w:num>
  <w:num w:numId="12">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240"/>
      <w:outlineLvl w:val="0"/>
    </w:pPr>
    <w:rPr>
      <w:rFonts w:ascii="Arial" w:cs="Arial" w:eastAsia="Arial" w:hAnsi="Arial"/>
      <w:b/>
      <w:bCs/>
      <w:color w:val="1F4E79"/>
      <w:sz w:val="30"/>
      <w:szCs w:val="30"/>
    </w:rPr>
  </w:style>
  <w:style w:type="paragraph" w:styleId="Heading2">
    <w:name w:val="Heading 2"/>
    <w:basedOn w:val="Normal"/>
    <w:next w:val="Normal"/>
    <w:qFormat/>
    <w:pPr>
      <w:spacing w:after="140" w:before="200"/>
      <w:outlineLvl w:val="1"/>
    </w:pPr>
    <w:rPr>
      <w:rFonts w:ascii="Arial" w:cs="Arial" w:eastAsia="Arial" w:hAnsi="Arial"/>
      <w:b/>
      <w:bCs/>
      <w:color w:val="2E75B6"/>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2026-10-20T12:42:49.217Z</dcterms:created>
  <dcterms:modified xsi:type="dcterms:W3CDTF">2026-10-20T12:42:49.218Z</dcterms:modified>
</cp:coreProperties>
</file>

<file path=docProps/custom.xml><?xml version="1.0" encoding="utf-8"?>
<Properties xmlns="http://schemas.openxmlformats.org/officeDocument/2006/custom-properties" xmlns:vt="http://schemas.openxmlformats.org/officeDocument/2006/docPropsVTypes"/>
</file>